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0" w:type="dxa"/>
        <w:tblLook w:val="04A0" w:firstRow="1" w:lastRow="0" w:firstColumn="1" w:lastColumn="0" w:noHBand="0" w:noVBand="1"/>
      </w:tblPr>
      <w:tblGrid>
        <w:gridCol w:w="1624"/>
        <w:gridCol w:w="8536"/>
      </w:tblGrid>
      <w:tr w:rsidR="00FC5135" w14:paraId="17E4A3B0" w14:textId="77777777" w:rsidTr="00FC5135">
        <w:trPr>
          <w:trHeight w:val="255"/>
        </w:trPr>
        <w:tc>
          <w:tcPr>
            <w:tcW w:w="10144" w:type="dxa"/>
            <w:gridSpan w:val="2"/>
            <w:vAlign w:val="center"/>
            <w:hideMark/>
          </w:tcPr>
          <w:p w14:paraId="5B02DCFC" w14:textId="77777777" w:rsidR="00FC5135" w:rsidRDefault="00FC5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A1:F176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Dawson County Hospital District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dba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Medical Arts Hospital</w:t>
            </w:r>
            <w:bookmarkEnd w:id="0"/>
          </w:p>
        </w:tc>
      </w:tr>
      <w:tr w:rsidR="00FC5135" w14:paraId="741AB239" w14:textId="77777777" w:rsidTr="00FC5135">
        <w:trPr>
          <w:trHeight w:val="255"/>
        </w:trPr>
        <w:tc>
          <w:tcPr>
            <w:tcW w:w="10144" w:type="dxa"/>
            <w:gridSpan w:val="2"/>
            <w:vAlign w:val="center"/>
            <w:hideMark/>
          </w:tcPr>
          <w:p w14:paraId="39685F3E" w14:textId="77777777" w:rsidR="00FC5135" w:rsidRDefault="00FC5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Position Description/Competency Based Evaluation</w:t>
            </w:r>
          </w:p>
        </w:tc>
      </w:tr>
      <w:tr w:rsidR="00FC5135" w14:paraId="195675B1" w14:textId="77777777" w:rsidTr="00FC5135">
        <w:trPr>
          <w:trHeight w:val="855"/>
        </w:trPr>
        <w:tc>
          <w:tcPr>
            <w:tcW w:w="1621" w:type="dxa"/>
            <w:noWrap/>
            <w:vAlign w:val="center"/>
            <w:hideMark/>
          </w:tcPr>
          <w:p w14:paraId="3F3439B5" w14:textId="77777777" w:rsidR="00FC5135" w:rsidRDefault="00FC51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noWrap/>
            <w:vAlign w:val="center"/>
            <w:hideMark/>
          </w:tcPr>
          <w:p w14:paraId="5196981D" w14:textId="77777777" w:rsidR="00FC5135" w:rsidRDefault="00FC5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7ACCD7" wp14:editId="4E1129BF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133350</wp:posOffset>
                  </wp:positionV>
                  <wp:extent cx="2924175" cy="77152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4EDC305" w14:textId="77777777" w:rsidR="00FC5135" w:rsidRDefault="00FC5135" w:rsidP="00FC5135">
      <w:pPr>
        <w:spacing w:line="254" w:lineRule="auto"/>
      </w:pPr>
    </w:p>
    <w:p w14:paraId="505F67BD" w14:textId="77777777" w:rsidR="00FC5135" w:rsidRDefault="00FC5135" w:rsidP="00FC5135">
      <w:pPr>
        <w:spacing w:line="254" w:lineRule="auto"/>
      </w:pPr>
    </w:p>
    <w:tbl>
      <w:tblPr>
        <w:tblW w:w="11415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2737"/>
        <w:gridCol w:w="1836"/>
        <w:gridCol w:w="2152"/>
        <w:gridCol w:w="789"/>
        <w:gridCol w:w="959"/>
        <w:gridCol w:w="2942"/>
      </w:tblGrid>
      <w:tr w:rsidR="00FC5135" w14:paraId="2A0C66E7" w14:textId="77777777" w:rsidTr="008615A7">
        <w:trPr>
          <w:trHeight w:val="405"/>
        </w:trPr>
        <w:tc>
          <w:tcPr>
            <w:tcW w:w="11415" w:type="dxa"/>
            <w:gridSpan w:val="6"/>
            <w:noWrap/>
            <w:vAlign w:val="center"/>
          </w:tcPr>
          <w:p w14:paraId="771B9E17" w14:textId="77777777" w:rsidR="00FC5135" w:rsidRDefault="00FC5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98CCFCA" w14:textId="77777777" w:rsidR="00FC5135" w:rsidRDefault="00FC5135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Position: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MRI/ CT/ Diagnostic Technologist</w:t>
            </w:r>
          </w:p>
        </w:tc>
      </w:tr>
      <w:tr w:rsidR="00FC5135" w14:paraId="3FCDB203" w14:textId="77777777" w:rsidTr="008615A7">
        <w:trPr>
          <w:trHeight w:val="180"/>
        </w:trPr>
        <w:tc>
          <w:tcPr>
            <w:tcW w:w="2737" w:type="dxa"/>
            <w:noWrap/>
            <w:vAlign w:val="center"/>
            <w:hideMark/>
          </w:tcPr>
          <w:p w14:paraId="38D482C3" w14:textId="77777777" w:rsidR="00FC5135" w:rsidRDefault="00FC5135">
            <w:pP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4BA93A52" w14:textId="77777777" w:rsidR="00FC5135" w:rsidRDefault="00FC513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52" w:type="dxa"/>
            <w:noWrap/>
            <w:vAlign w:val="center"/>
            <w:hideMark/>
          </w:tcPr>
          <w:p w14:paraId="362F4092" w14:textId="77777777" w:rsidR="00FC5135" w:rsidRDefault="00FC513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9" w:type="dxa"/>
            <w:noWrap/>
            <w:vAlign w:val="center"/>
            <w:hideMark/>
          </w:tcPr>
          <w:p w14:paraId="4DCCE047" w14:textId="77777777" w:rsidR="00FC5135" w:rsidRDefault="00FC513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center"/>
            <w:hideMark/>
          </w:tcPr>
          <w:p w14:paraId="47C4E952" w14:textId="77777777" w:rsidR="00FC5135" w:rsidRDefault="00FC513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42" w:type="dxa"/>
            <w:noWrap/>
            <w:vAlign w:val="center"/>
            <w:hideMark/>
          </w:tcPr>
          <w:p w14:paraId="6837CD59" w14:textId="77777777" w:rsidR="00FC5135" w:rsidRDefault="00FC5135">
            <w:pPr>
              <w:spacing w:after="0"/>
              <w:rPr>
                <w:sz w:val="20"/>
                <w:szCs w:val="20"/>
              </w:rPr>
            </w:pPr>
          </w:p>
        </w:tc>
      </w:tr>
      <w:tr w:rsidR="00FC5135" w14:paraId="5FEF6529" w14:textId="77777777" w:rsidTr="008615A7">
        <w:trPr>
          <w:trHeight w:val="255"/>
        </w:trPr>
        <w:tc>
          <w:tcPr>
            <w:tcW w:w="6725" w:type="dxa"/>
            <w:gridSpan w:val="3"/>
            <w:vAlign w:val="center"/>
            <w:hideMark/>
          </w:tcPr>
          <w:p w14:paraId="5132FF65" w14:textId="77777777" w:rsidR="00FC5135" w:rsidRDefault="00FC5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FLSA Status:</w:t>
            </w:r>
          </w:p>
        </w:tc>
        <w:tc>
          <w:tcPr>
            <w:tcW w:w="1748" w:type="dxa"/>
            <w:gridSpan w:val="2"/>
            <w:vAlign w:val="center"/>
            <w:hideMark/>
          </w:tcPr>
          <w:p w14:paraId="2C7CAB85" w14:textId="77777777" w:rsidR="00FC5135" w:rsidRDefault="00FC5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Exempt</w:t>
            </w:r>
          </w:p>
        </w:tc>
        <w:tc>
          <w:tcPr>
            <w:tcW w:w="2942" w:type="dxa"/>
            <w:noWrap/>
            <w:vAlign w:val="center"/>
            <w:hideMark/>
          </w:tcPr>
          <w:p w14:paraId="45CCE163" w14:textId="77777777" w:rsidR="00FC5135" w:rsidRDefault="00FC5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[ ]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Non-Exempt</w:t>
            </w:r>
          </w:p>
        </w:tc>
      </w:tr>
      <w:tr w:rsidR="00FC5135" w14:paraId="1E8C7D64" w14:textId="77777777" w:rsidTr="008615A7">
        <w:trPr>
          <w:trHeight w:val="255"/>
        </w:trPr>
        <w:tc>
          <w:tcPr>
            <w:tcW w:w="2737" w:type="dxa"/>
            <w:vAlign w:val="center"/>
            <w:hideMark/>
          </w:tcPr>
          <w:p w14:paraId="7E08B9B2" w14:textId="77777777" w:rsidR="00FC5135" w:rsidRDefault="00FC51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  <w:hideMark/>
          </w:tcPr>
          <w:p w14:paraId="2FC8DFC5" w14:textId="77777777" w:rsidR="00FC5135" w:rsidRDefault="00FC513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  <w:hideMark/>
          </w:tcPr>
          <w:p w14:paraId="483D5704" w14:textId="77777777" w:rsidR="00FC5135" w:rsidRDefault="00FC513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  <w:hideMark/>
          </w:tcPr>
          <w:p w14:paraId="7440151C" w14:textId="77777777" w:rsidR="00FC5135" w:rsidRDefault="00FC513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  <w:hideMark/>
          </w:tcPr>
          <w:p w14:paraId="5976B926" w14:textId="77777777" w:rsidR="00FC5135" w:rsidRDefault="00FC513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42" w:type="dxa"/>
            <w:noWrap/>
            <w:vAlign w:val="center"/>
            <w:hideMark/>
          </w:tcPr>
          <w:p w14:paraId="3AA9C8E3" w14:textId="77777777" w:rsidR="00FC5135" w:rsidRDefault="00FC5135">
            <w:pPr>
              <w:spacing w:after="0"/>
              <w:rPr>
                <w:sz w:val="20"/>
                <w:szCs w:val="20"/>
              </w:rPr>
            </w:pPr>
          </w:p>
        </w:tc>
      </w:tr>
      <w:tr w:rsidR="00FC5135" w14:paraId="08C85D21" w14:textId="77777777" w:rsidTr="008615A7">
        <w:trPr>
          <w:trHeight w:val="255"/>
        </w:trPr>
        <w:tc>
          <w:tcPr>
            <w:tcW w:w="11415" w:type="dxa"/>
            <w:gridSpan w:val="6"/>
            <w:vAlign w:val="center"/>
            <w:hideMark/>
          </w:tcPr>
          <w:p w14:paraId="0EB31F67" w14:textId="77777777" w:rsidR="00FC5135" w:rsidRDefault="00FC5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Reason for Evaluation: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[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] Introductory    [  ] Annual  [  ] Transfer   [  ] Other: ___________________           </w:t>
            </w:r>
          </w:p>
        </w:tc>
      </w:tr>
      <w:tr w:rsidR="00FC5135" w14:paraId="47133978" w14:textId="77777777" w:rsidTr="008615A7">
        <w:trPr>
          <w:trHeight w:val="300"/>
        </w:trPr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A982FF" w14:textId="77777777" w:rsidR="00FC5135" w:rsidRDefault="00FC5135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</w:pPr>
            <w:r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t>POSITION PURPOSE</w:t>
            </w:r>
          </w:p>
        </w:tc>
      </w:tr>
      <w:tr w:rsidR="00FC5135" w14:paraId="0F340B1A" w14:textId="77777777" w:rsidTr="008615A7">
        <w:trPr>
          <w:trHeight w:val="855"/>
        </w:trPr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vAlign w:val="center"/>
          </w:tcPr>
          <w:p w14:paraId="47907959" w14:textId="77777777" w:rsidR="00FC5135" w:rsidRDefault="00FC5135">
            <w:pPr>
              <w:spacing w:after="0" w:line="276" w:lineRule="auto"/>
              <w:ind w:left="2880" w:hanging="28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 the supervision of the Department Director, perform diagnostic radiographic procedures </w:t>
            </w:r>
          </w:p>
          <w:p w14:paraId="0C8C337C" w14:textId="77777777" w:rsidR="00FC5135" w:rsidRDefault="00FC5135">
            <w:pPr>
              <w:spacing w:after="0" w:line="276" w:lineRule="auto"/>
              <w:ind w:left="2880" w:hanging="28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patients. Able to utilize PACs (Picture Archiving Communications). Clean and maintain </w:t>
            </w:r>
          </w:p>
          <w:p w14:paraId="799FE1F4" w14:textId="77777777" w:rsidR="00FC5135" w:rsidRDefault="00FC5135">
            <w:pPr>
              <w:spacing w:after="0" w:line="276" w:lineRule="auto"/>
              <w:ind w:left="2880" w:hanging="28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equipment and prepare necessary reports and maintain records. OSHA Bloodborne </w:t>
            </w:r>
          </w:p>
          <w:p w14:paraId="05AC398B" w14:textId="77777777" w:rsidR="00FC5135" w:rsidRDefault="00FC5135">
            <w:pPr>
              <w:spacing w:after="0" w:line="276" w:lineRule="auto"/>
              <w:ind w:left="2880" w:hanging="28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Pathogens</w:t>
            </w:r>
          </w:p>
          <w:p w14:paraId="3B282C30" w14:textId="77777777" w:rsidR="00FC5135" w:rsidRDefault="00FC5135">
            <w:pPr>
              <w:tabs>
                <w:tab w:val="left" w:pos="2520"/>
              </w:tabs>
              <w:spacing w:after="0" w:line="240" w:lineRule="auto"/>
              <w:ind w:left="2520" w:right="540" w:hanging="2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135" w14:paraId="780DC70A" w14:textId="77777777" w:rsidTr="008615A7">
        <w:trPr>
          <w:trHeight w:val="300"/>
        </w:trPr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A9A99DE" w14:textId="77777777" w:rsidR="00FC5135" w:rsidRDefault="00FC5135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</w:pPr>
            <w:r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  <w:t>POSITION QUALIFICATIONS</w:t>
            </w:r>
          </w:p>
        </w:tc>
      </w:tr>
      <w:tr w:rsidR="00FC5135" w14:paraId="7F26B88E" w14:textId="77777777" w:rsidTr="008615A7">
        <w:trPr>
          <w:trHeight w:val="495"/>
        </w:trPr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4399D254" w14:textId="77777777" w:rsidR="00FC5135" w:rsidRDefault="00FC513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t>Education:</w:t>
            </w:r>
            <w:r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High School graduate or equivalent and graduate from and accredited program of Radiologic Technology</w:t>
            </w:r>
          </w:p>
        </w:tc>
      </w:tr>
      <w:tr w:rsidR="00FC5135" w14:paraId="21653241" w14:textId="77777777" w:rsidTr="008615A7">
        <w:trPr>
          <w:trHeight w:val="570"/>
        </w:trPr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0B8309D6" w14:textId="77777777" w:rsidR="00FC5135" w:rsidRDefault="00FC5135">
            <w:pPr>
              <w:tabs>
                <w:tab w:val="left" w:pos="810"/>
              </w:tabs>
              <w:spacing w:after="0" w:line="276" w:lineRule="auto"/>
              <w:ind w:right="72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Licenses/Certificates:</w:t>
            </w:r>
          </w:p>
          <w:p w14:paraId="3D1D2019" w14:textId="77777777" w:rsidR="00FC5135" w:rsidRDefault="00FC5135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Registered, or registry eligible with ARRT, or ARCRT, a current Texas License is required</w:t>
            </w:r>
          </w:p>
        </w:tc>
      </w:tr>
      <w:tr w:rsidR="00FC5135" w14:paraId="055A898D" w14:textId="77777777" w:rsidTr="008615A7">
        <w:trPr>
          <w:trHeight w:val="630"/>
        </w:trPr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4245B2EB" w14:textId="77777777" w:rsidR="00FC5135" w:rsidRDefault="00FC5135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</w:pPr>
            <w:r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  <w:t>Job Qualifications:</w:t>
            </w:r>
          </w:p>
          <w:p w14:paraId="06EDA9E8" w14:textId="77777777" w:rsidR="00FC5135" w:rsidRDefault="00FC5135" w:rsidP="000B52EF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spacing w:after="200" w:line="276" w:lineRule="auto"/>
              <w:ind w:right="72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</w:rPr>
              <w:t>Knowledge of radiologic equipment and Picture Archiving Communications. Effective oral and written leadership communication skills</w:t>
            </w:r>
          </w:p>
          <w:p w14:paraId="669BD629" w14:textId="77777777" w:rsidR="00FC5135" w:rsidRDefault="00FC5135" w:rsidP="000B52EF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spacing w:after="200" w:line="276" w:lineRule="auto"/>
              <w:ind w:righ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year as registered Technologist preferred.</w:t>
            </w:r>
          </w:p>
          <w:p w14:paraId="0373DB88" w14:textId="77777777" w:rsidR="00FC5135" w:rsidRDefault="00FC5135" w:rsidP="000B52EF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spacing w:after="200" w:line="276" w:lineRule="auto"/>
              <w:ind w:right="72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</w:rPr>
              <w:t>Efficient in radiological procedures, PACs, MRI, and cross training in CT</w:t>
            </w:r>
          </w:p>
          <w:p w14:paraId="0EB9B4D2" w14:textId="77777777" w:rsidR="00FC5135" w:rsidRDefault="00FC5135" w:rsidP="000B52EF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spacing w:after="200" w:line="276" w:lineRule="auto"/>
              <w:ind w:right="72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Duties of the position require moderate standing, walking, twisting, reaching, and handling of instruments and equipment. </w:t>
            </w:r>
            <w:proofErr w:type="gramStart"/>
            <w:r>
              <w:rPr>
                <w:rFonts w:ascii="Arial" w:hAnsi="Arial" w:cs="Arial"/>
              </w:rPr>
              <w:t>Lifting up</w:t>
            </w:r>
            <w:proofErr w:type="gramEnd"/>
            <w:r>
              <w:rPr>
                <w:rFonts w:ascii="Arial" w:hAnsi="Arial" w:cs="Arial"/>
              </w:rPr>
              <w:t xml:space="preserve"> to 50 pounds and occasional heavy lifting, including lifting and supporting patients who suddenly become weak or helpless</w:t>
            </w:r>
          </w:p>
        </w:tc>
      </w:tr>
    </w:tbl>
    <w:p w14:paraId="7D5B8E9B" w14:textId="77777777" w:rsidR="00C35464" w:rsidRDefault="00C35464"/>
    <w:sectPr w:rsidR="00C3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26E4F"/>
    <w:multiLevelType w:val="hybridMultilevel"/>
    <w:tmpl w:val="4B6A8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35"/>
    <w:rsid w:val="008615A7"/>
    <w:rsid w:val="00C35464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F00B"/>
  <w15:chartTrackingRefBased/>
  <w15:docId w15:val="{69E2D6A7-034B-4FA9-8122-A68D2758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1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135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>Medical Arts Hospital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Vasquez</dc:creator>
  <cp:keywords/>
  <dc:description/>
  <cp:lastModifiedBy>Cynthia Vasquez</cp:lastModifiedBy>
  <cp:revision>2</cp:revision>
  <dcterms:created xsi:type="dcterms:W3CDTF">2025-09-25T18:33:00Z</dcterms:created>
  <dcterms:modified xsi:type="dcterms:W3CDTF">2025-09-25T19:04:00Z</dcterms:modified>
</cp:coreProperties>
</file>